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13" w:rsidRDefault="00792713" w:rsidP="00792713">
      <w:pPr>
        <w:pBdr>
          <w:bottom w:val="single" w:sz="12" w:space="1" w:color="1F497D"/>
        </w:pBdr>
        <w:shd w:val="clear" w:color="auto" w:fill="C6D9F1"/>
        <w:spacing w:line="100" w:lineRule="atLeast"/>
        <w:jc w:val="both"/>
        <w:rPr>
          <w:rFonts w:ascii="Arial" w:hAnsi="Arial"/>
          <w:b/>
          <w:color w:val="17365D"/>
        </w:rPr>
      </w:pPr>
      <w:r>
        <w:rPr>
          <w:rFonts w:ascii="Arial" w:hAnsi="Arial"/>
          <w:b/>
          <w:color w:val="17365D"/>
        </w:rPr>
        <w:t>Liste complète des publications</w:t>
      </w:r>
    </w:p>
    <w:p w:rsidR="00792713" w:rsidRPr="00CC717D" w:rsidRDefault="00792713" w:rsidP="00792713">
      <w:pPr>
        <w:pBdr>
          <w:bottom w:val="single" w:sz="12" w:space="1" w:color="1F497D"/>
        </w:pBdr>
        <w:shd w:val="clear" w:color="auto" w:fill="C6D9F1"/>
        <w:spacing w:line="100" w:lineRule="atLeast"/>
        <w:jc w:val="both"/>
        <w:rPr>
          <w:rFonts w:ascii="Arial" w:hAnsi="Arial"/>
          <w:b/>
          <w:color w:val="17365D"/>
          <w:sz w:val="16"/>
        </w:rPr>
      </w:pPr>
    </w:p>
    <w:p w:rsidR="00792713" w:rsidRPr="00CC717D" w:rsidRDefault="00792713" w:rsidP="00792713">
      <w:pPr>
        <w:tabs>
          <w:tab w:val="left" w:pos="2016"/>
        </w:tabs>
        <w:spacing w:line="100" w:lineRule="atLeast"/>
        <w:jc w:val="both"/>
        <w:rPr>
          <w:rFonts w:ascii="Arial" w:hAnsi="Arial"/>
          <w:b/>
          <w:sz w:val="16"/>
        </w:rPr>
      </w:pPr>
    </w:p>
    <w:p w:rsidR="00792713" w:rsidRPr="007D12F5" w:rsidRDefault="00792713" w:rsidP="00792713">
      <w:pPr>
        <w:spacing w:after="120" w:line="240" w:lineRule="exact"/>
        <w:rPr>
          <w:rFonts w:ascii="Arial" w:hAnsi="Arial"/>
          <w:b/>
          <w:sz w:val="20"/>
          <w:u w:val="single"/>
        </w:rPr>
      </w:pPr>
      <w:r w:rsidRPr="007D12F5">
        <w:rPr>
          <w:rFonts w:ascii="Arial" w:hAnsi="Arial"/>
          <w:b/>
          <w:sz w:val="20"/>
          <w:u w:val="single"/>
        </w:rPr>
        <w:t xml:space="preserve">Livres : </w:t>
      </w:r>
    </w:p>
    <w:p w:rsidR="00792713" w:rsidRPr="007D12F5" w:rsidRDefault="00792713" w:rsidP="00792713">
      <w:pPr>
        <w:spacing w:after="120"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i/>
          <w:sz w:val="20"/>
        </w:rPr>
        <w:t>Vivre au quotidien sur les rives du Tigre et de l’Euphrate</w:t>
      </w:r>
      <w:r w:rsidRPr="007D12F5">
        <w:rPr>
          <w:rFonts w:ascii="Arial" w:hAnsi="Arial"/>
          <w:sz w:val="20"/>
        </w:rPr>
        <w:t>, dossier pédagogique sur la Mésopotamie, destiné aux Régents en Histoire, Ministère de l’Education et de la Recherche de Belgique, Frameries, 2001, 223 p.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i/>
          <w:sz w:val="20"/>
        </w:rPr>
        <w:t>L'introduction et la diffusion de la technologie du bronze en Syrie-Mésopotamie (IVe-Ier millénaires). Genèse d'un artisanat</w:t>
      </w:r>
      <w:r w:rsidRPr="007D12F5">
        <w:rPr>
          <w:rFonts w:ascii="Arial" w:hAnsi="Arial"/>
          <w:sz w:val="20"/>
        </w:rPr>
        <w:t>. British Archaeological Reports, IS 1740, Londres 2009.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Co-direction de la publication des actes de la table ronde "La métallurgie de transformation des alliages </w:t>
      </w:r>
      <w:proofErr w:type="gramStart"/>
      <w:r w:rsidRPr="007D12F5">
        <w:rPr>
          <w:rFonts w:ascii="Arial" w:hAnsi="Arial"/>
          <w:sz w:val="20"/>
        </w:rPr>
        <w:t>cuivreux:</w:t>
      </w:r>
      <w:proofErr w:type="gramEnd"/>
      <w:r w:rsidRPr="007D12F5">
        <w:rPr>
          <w:rFonts w:ascii="Arial" w:hAnsi="Arial"/>
          <w:sz w:val="20"/>
        </w:rPr>
        <w:t xml:space="preserve"> approches méthodologiques et applications archéologiques récentes", qui  a eu lieu les 24-25 octobre 2006 à la Maison René Ginouvès,  Cahiers de la MAE VIII, Nanterre, 2008.  </w:t>
      </w:r>
    </w:p>
    <w:p w:rsidR="00792713" w:rsidRPr="007D12F5" w:rsidRDefault="00792713" w:rsidP="00792713">
      <w:pPr>
        <w:numPr>
          <w:ilvl w:val="0"/>
          <w:numId w:val="1"/>
        </w:numPr>
        <w:spacing w:after="120"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i/>
          <w:sz w:val="20"/>
        </w:rPr>
        <w:t>Histoire et Archéologie de l’Empire achéménide</w:t>
      </w:r>
      <w:r w:rsidRPr="007D12F5">
        <w:rPr>
          <w:rFonts w:ascii="Arial" w:hAnsi="Arial"/>
          <w:sz w:val="20"/>
        </w:rPr>
        <w:t xml:space="preserve">, </w:t>
      </w:r>
      <w:proofErr w:type="gramStart"/>
      <w:r w:rsidRPr="007D12F5">
        <w:rPr>
          <w:rFonts w:ascii="Arial" w:hAnsi="Arial"/>
          <w:sz w:val="20"/>
        </w:rPr>
        <w:t>Syllabus  de</w:t>
      </w:r>
      <w:proofErr w:type="gramEnd"/>
      <w:r w:rsidRPr="007D12F5">
        <w:rPr>
          <w:rFonts w:ascii="Arial" w:hAnsi="Arial"/>
          <w:sz w:val="20"/>
        </w:rPr>
        <w:t xml:space="preserve"> cours, Université Catholique de Louvain, CIACO, Louvain-la-Neuve, 2009.</w:t>
      </w:r>
    </w:p>
    <w:p w:rsidR="00792713" w:rsidRPr="007D12F5" w:rsidRDefault="00792713" w:rsidP="00792713">
      <w:pPr>
        <w:spacing w:after="120" w:line="240" w:lineRule="exact"/>
        <w:rPr>
          <w:rFonts w:ascii="Arial" w:hAnsi="Arial"/>
          <w:b/>
          <w:sz w:val="20"/>
          <w:u w:val="single"/>
        </w:rPr>
      </w:pPr>
      <w:r w:rsidRPr="007D12F5">
        <w:rPr>
          <w:rFonts w:ascii="Arial" w:hAnsi="Arial"/>
          <w:b/>
          <w:sz w:val="20"/>
          <w:u w:val="single"/>
        </w:rPr>
        <w:t>Revues avec comité de lecture :</w:t>
      </w:r>
    </w:p>
    <w:p w:rsidR="00792713" w:rsidRPr="007D12F5" w:rsidRDefault="00792713" w:rsidP="00792713">
      <w:pPr>
        <w:spacing w:line="240" w:lineRule="exact"/>
        <w:ind w:left="426" w:hanging="426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- </w:t>
      </w:r>
      <w:r w:rsidRPr="007D12F5">
        <w:rPr>
          <w:rFonts w:ascii="Arial" w:hAnsi="Arial"/>
          <w:sz w:val="20"/>
        </w:rPr>
        <w:tab/>
        <w:t xml:space="preserve">"Mariage et politique </w:t>
      </w:r>
      <w:r>
        <w:rPr>
          <w:rFonts w:ascii="Arial" w:hAnsi="Arial"/>
          <w:sz w:val="20"/>
        </w:rPr>
        <w:t>à l'époque paléo-babylonienne",</w:t>
      </w:r>
      <w:r w:rsidRPr="007D12F5">
        <w:rPr>
          <w:rFonts w:ascii="Arial" w:hAnsi="Arial"/>
          <w:sz w:val="20"/>
        </w:rPr>
        <w:t xml:space="preserve"> in </w:t>
      </w:r>
      <w:r w:rsidRPr="007D12F5">
        <w:rPr>
          <w:rFonts w:ascii="Arial" w:hAnsi="Arial"/>
          <w:i/>
          <w:sz w:val="20"/>
        </w:rPr>
        <w:t>Chronique féministe</w:t>
      </w:r>
      <w:r w:rsidRPr="007D12F5">
        <w:rPr>
          <w:rFonts w:ascii="Arial" w:hAnsi="Arial"/>
          <w:sz w:val="20"/>
        </w:rPr>
        <w:t>, publication de l'Université des Femmes (Bruxelles), Janvier-Février 1997, pp. 49-54.</w:t>
      </w:r>
    </w:p>
    <w:p w:rsidR="00792713" w:rsidRPr="007D12F5" w:rsidRDefault="00792713" w:rsidP="00792713">
      <w:pPr>
        <w:spacing w:line="240" w:lineRule="exact"/>
        <w:ind w:left="426" w:hanging="426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- </w:t>
      </w:r>
      <w:r w:rsidRPr="007D12F5">
        <w:rPr>
          <w:rFonts w:ascii="Arial" w:hAnsi="Arial"/>
          <w:sz w:val="20"/>
        </w:rPr>
        <w:tab/>
        <w:t xml:space="preserve">"A propos de ARM II, 115" </w:t>
      </w:r>
      <w:r w:rsidRPr="007D12F5">
        <w:rPr>
          <w:rFonts w:ascii="Arial" w:hAnsi="Arial"/>
          <w:i/>
          <w:sz w:val="20"/>
        </w:rPr>
        <w:t>NABU, Nouvelles Assyriologiques Brèves et Utilitaires</w:t>
      </w:r>
      <w:r w:rsidRPr="007D12F5">
        <w:rPr>
          <w:rFonts w:ascii="Arial" w:hAnsi="Arial"/>
          <w:sz w:val="20"/>
        </w:rPr>
        <w:t>, 1997 n° 2 (Juin) N° 72</w:t>
      </w:r>
      <w:proofErr w:type="gramStart"/>
      <w:r w:rsidRPr="007D12F5">
        <w:rPr>
          <w:rFonts w:ascii="Arial" w:hAnsi="Arial"/>
          <w:sz w:val="20"/>
        </w:rPr>
        <w:t>,  p</w:t>
      </w:r>
      <w:proofErr w:type="gramEnd"/>
      <w:r w:rsidRPr="007D12F5">
        <w:rPr>
          <w:rFonts w:ascii="Arial" w:hAnsi="Arial"/>
          <w:sz w:val="20"/>
        </w:rPr>
        <w:t xml:space="preserve">. 70, Paris. </w:t>
      </w:r>
    </w:p>
    <w:p w:rsidR="00792713" w:rsidRPr="007D12F5" w:rsidRDefault="00792713" w:rsidP="00792713">
      <w:pPr>
        <w:spacing w:line="240" w:lineRule="exact"/>
        <w:ind w:left="426" w:hanging="426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- </w:t>
      </w:r>
      <w:r w:rsidRPr="007D12F5">
        <w:rPr>
          <w:rFonts w:ascii="Arial" w:hAnsi="Arial"/>
          <w:sz w:val="20"/>
        </w:rPr>
        <w:tab/>
        <w:t xml:space="preserve">Nombreuses notices pour le Catalogue de </w:t>
      </w:r>
      <w:proofErr w:type="gramStart"/>
      <w:r w:rsidRPr="007D12F5">
        <w:rPr>
          <w:rFonts w:ascii="Arial" w:hAnsi="Arial"/>
          <w:sz w:val="20"/>
        </w:rPr>
        <w:t>l’exposition:</w:t>
      </w:r>
      <w:proofErr w:type="gramEnd"/>
      <w:r w:rsidRPr="007D12F5">
        <w:rPr>
          <w:rFonts w:ascii="Arial" w:hAnsi="Arial"/>
          <w:sz w:val="20"/>
        </w:rPr>
        <w:t xml:space="preserve"> </w:t>
      </w:r>
      <w:r w:rsidRPr="007D12F5">
        <w:rPr>
          <w:rFonts w:ascii="Arial" w:hAnsi="Arial"/>
          <w:i/>
          <w:sz w:val="20"/>
        </w:rPr>
        <w:t xml:space="preserve">En Syrie, aux origines de l’écriture </w:t>
      </w:r>
      <w:r w:rsidRPr="007D12F5">
        <w:rPr>
          <w:rFonts w:ascii="Arial" w:hAnsi="Arial"/>
          <w:sz w:val="20"/>
        </w:rPr>
        <w:t>organisée par la Société Générale de Belgique (26 décembre 1997-31 Mars 1998), Bruxelles, 1998, 12 p.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>Nombreuses notices pour le projet international "The Prosopography of the Neo-Assyrian Empire" I/2, The Neo-Assyrian Text Corpus Project, Helsinki, 1999, 5 p.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"Chantier E - Fosse d'époque hellénistique", in </w:t>
      </w:r>
      <w:r w:rsidRPr="007D12F5">
        <w:rPr>
          <w:rFonts w:ascii="Arial" w:hAnsi="Arial"/>
          <w:i/>
          <w:sz w:val="20"/>
        </w:rPr>
        <w:t>Subartu</w:t>
      </w:r>
      <w:r w:rsidRPr="007D12F5">
        <w:rPr>
          <w:rFonts w:ascii="Arial" w:hAnsi="Arial"/>
          <w:sz w:val="20"/>
        </w:rPr>
        <w:t xml:space="preserve">, XI (Brepols, 2004), pp. 521-525. </w:t>
      </w:r>
    </w:p>
    <w:p w:rsidR="00792713" w:rsidRPr="007D12F5" w:rsidRDefault="00792713" w:rsidP="00792713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"Le rôle du banquet en Mésopotamie", « Si un homme... Textes offerts en hommage à André Finet », </w:t>
      </w:r>
      <w:r w:rsidRPr="007D12F5">
        <w:rPr>
          <w:rFonts w:ascii="Arial" w:hAnsi="Arial"/>
          <w:i/>
          <w:sz w:val="20"/>
        </w:rPr>
        <w:t>Subartu</w:t>
      </w:r>
      <w:r w:rsidRPr="007D12F5">
        <w:rPr>
          <w:rFonts w:ascii="Arial" w:hAnsi="Arial"/>
          <w:sz w:val="20"/>
        </w:rPr>
        <w:t xml:space="preserve"> XVI, 2005, pp. 165-174.</w:t>
      </w:r>
    </w:p>
    <w:p w:rsidR="00792713" w:rsidRPr="007D12F5" w:rsidRDefault="00792713" w:rsidP="00792713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Nicolle C., Verardi V., Engel N., Criaud H., "The Terracing System of Tell Mohammed Diyab (Syria) During the Middle of the Third Millennium", </w:t>
      </w:r>
      <w:r w:rsidRPr="007D12F5">
        <w:rPr>
          <w:rFonts w:ascii="Arial" w:hAnsi="Arial"/>
          <w:i/>
          <w:sz w:val="20"/>
        </w:rPr>
        <w:t>Orient Express</w:t>
      </w:r>
      <w:r w:rsidRPr="007D12F5">
        <w:rPr>
          <w:rFonts w:ascii="Arial" w:hAnsi="Arial"/>
          <w:sz w:val="20"/>
        </w:rPr>
        <w:t xml:space="preserve">, 2006/2, pp. 41-43. 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>"Vision du ciel et de la terre en Mésopotamie</w:t>
      </w:r>
      <w:proofErr w:type="gramStart"/>
      <w:r w:rsidRPr="007D12F5">
        <w:rPr>
          <w:rFonts w:ascii="Arial" w:hAnsi="Arial"/>
          <w:sz w:val="20"/>
        </w:rPr>
        <w:t>" ,</w:t>
      </w:r>
      <w:proofErr w:type="gramEnd"/>
      <w:r w:rsidRPr="007D12F5">
        <w:rPr>
          <w:rFonts w:ascii="Arial" w:hAnsi="Arial"/>
          <w:sz w:val="20"/>
        </w:rPr>
        <w:t xml:space="preserve"> in Luffin X., De Nooz L. (eds.), </w:t>
      </w:r>
      <w:r w:rsidRPr="007D12F5">
        <w:rPr>
          <w:rFonts w:ascii="Arial" w:hAnsi="Arial"/>
          <w:i/>
          <w:sz w:val="20"/>
        </w:rPr>
        <w:t xml:space="preserve">La géographie dans le monde oriental. In </w:t>
      </w:r>
      <w:proofErr w:type="gramStart"/>
      <w:r w:rsidRPr="007D12F5">
        <w:rPr>
          <w:rFonts w:ascii="Arial" w:hAnsi="Arial"/>
          <w:i/>
          <w:sz w:val="20"/>
        </w:rPr>
        <w:t>honorem  J</w:t>
      </w:r>
      <w:proofErr w:type="gramEnd"/>
      <w:r w:rsidRPr="007D12F5">
        <w:rPr>
          <w:rFonts w:ascii="Arial" w:hAnsi="Arial"/>
          <w:i/>
          <w:sz w:val="20"/>
        </w:rPr>
        <w:t>. Thiry</w:t>
      </w:r>
      <w:r w:rsidRPr="007D12F5">
        <w:rPr>
          <w:rFonts w:ascii="Arial" w:hAnsi="Arial"/>
          <w:sz w:val="20"/>
        </w:rPr>
        <w:t>, Peeters, Louvain, 2006, pp. 39-51.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"Une tombe du IIIe millénaire à Tell Mohammed Diyab (Syrie)", </w:t>
      </w:r>
      <w:r w:rsidRPr="007D12F5">
        <w:rPr>
          <w:rFonts w:ascii="Arial" w:hAnsi="Arial"/>
          <w:i/>
          <w:sz w:val="20"/>
        </w:rPr>
        <w:t>Revue d'Assyriologie</w:t>
      </w:r>
      <w:r w:rsidRPr="007D12F5">
        <w:rPr>
          <w:rFonts w:ascii="Arial" w:hAnsi="Arial"/>
          <w:sz w:val="20"/>
        </w:rPr>
        <w:t>, N° 100, Septembre 2006, pp. 41-52.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Nicolle C., Verardi V., "Des </w:t>
      </w:r>
      <w:proofErr w:type="gramStart"/>
      <w:r w:rsidRPr="007D12F5">
        <w:rPr>
          <w:rFonts w:ascii="Arial" w:hAnsi="Arial"/>
          <w:sz w:val="20"/>
        </w:rPr>
        <w:t>oiseaux  pour</w:t>
      </w:r>
      <w:proofErr w:type="gramEnd"/>
      <w:r w:rsidRPr="007D12F5">
        <w:rPr>
          <w:rFonts w:ascii="Arial" w:hAnsi="Arial"/>
          <w:sz w:val="20"/>
        </w:rPr>
        <w:t xml:space="preserve"> les dieux", </w:t>
      </w:r>
      <w:r w:rsidRPr="007D12F5">
        <w:rPr>
          <w:rFonts w:ascii="Arial" w:hAnsi="Arial"/>
          <w:i/>
          <w:sz w:val="20"/>
        </w:rPr>
        <w:t>NABU, Nouvelles Assyriologiques Brèves et Utilitaires</w:t>
      </w:r>
      <w:r w:rsidRPr="007D12F5">
        <w:rPr>
          <w:rFonts w:ascii="Arial" w:hAnsi="Arial"/>
          <w:sz w:val="20"/>
        </w:rPr>
        <w:t xml:space="preserve">, 2006 n° 4 (Décembre) N° 92, Paris, p. 92. 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"A small bronzeworking workshop at Tell Ahmar, Syria", </w:t>
      </w:r>
      <w:r w:rsidRPr="007D12F5">
        <w:rPr>
          <w:rFonts w:ascii="Arial" w:hAnsi="Arial"/>
          <w:i/>
          <w:sz w:val="20"/>
        </w:rPr>
        <w:t>Akkadica</w:t>
      </w:r>
      <w:r w:rsidRPr="007D12F5">
        <w:rPr>
          <w:rFonts w:ascii="Arial" w:hAnsi="Arial"/>
          <w:sz w:val="20"/>
        </w:rPr>
        <w:t xml:space="preserve"> 128/1-2, Bruxelles, 2007, pp. 109-116. 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 xml:space="preserve">"Etude des artisans métallurgistes proches-orientaux (IIIe-IIe millénaire avant notre ère) d'après l'archéologie et les textes", in Oberweiler C., Quilliec B., Verardi V. (eds.), </w:t>
      </w:r>
      <w:r w:rsidRPr="007D12F5">
        <w:rPr>
          <w:rFonts w:ascii="Arial" w:hAnsi="Arial"/>
          <w:i/>
          <w:sz w:val="20"/>
        </w:rPr>
        <w:t>La métallurgie des alliages cuivreux. Approches méthodologiques et applications archéologiques récentes. Cahiers de la Maison de l'Archéologie et de l'Ethnologie</w:t>
      </w:r>
      <w:r w:rsidRPr="007D12F5">
        <w:rPr>
          <w:rFonts w:ascii="Arial" w:hAnsi="Arial"/>
          <w:sz w:val="20"/>
        </w:rPr>
        <w:softHyphen/>
        <w:t>, MAE</w:t>
      </w:r>
      <w:r w:rsidRPr="007D12F5">
        <w:rPr>
          <w:rFonts w:ascii="Arial" w:hAnsi="Arial"/>
        </w:rPr>
        <w:t xml:space="preserve">, </w:t>
      </w:r>
      <w:r w:rsidRPr="007D12F5">
        <w:rPr>
          <w:rFonts w:ascii="Arial" w:hAnsi="Arial"/>
          <w:sz w:val="20"/>
        </w:rPr>
        <w:t>Nanterre, 2008 : pp. 66-78.</w:t>
      </w:r>
    </w:p>
    <w:p w:rsidR="00792713" w:rsidRPr="007D12F5" w:rsidRDefault="00792713" w:rsidP="00792713">
      <w:pPr>
        <w:numPr>
          <w:ilvl w:val="0"/>
          <w:numId w:val="1"/>
        </w:numPr>
        <w:spacing w:line="240" w:lineRule="exact"/>
        <w:rPr>
          <w:rFonts w:ascii="Arial" w:hAnsi="Arial"/>
          <w:sz w:val="20"/>
        </w:rPr>
      </w:pPr>
      <w:r w:rsidRPr="007D12F5">
        <w:rPr>
          <w:rFonts w:ascii="Arial" w:hAnsi="Arial"/>
          <w:sz w:val="20"/>
        </w:rPr>
        <w:t>"</w:t>
      </w:r>
      <w:r w:rsidRPr="007D12F5">
        <w:rPr>
          <w:rFonts w:ascii="Arial" w:hAnsi="Arial"/>
          <w:sz w:val="20"/>
          <w:lang w:val="en-GB"/>
        </w:rPr>
        <w:t xml:space="preserve">The different stages of the Acropolis from the Amorite period at Tell Mohammed Diyab", </w:t>
      </w:r>
      <w:r w:rsidRPr="007D12F5">
        <w:rPr>
          <w:rFonts w:ascii="Arial" w:hAnsi="Arial"/>
          <w:i/>
          <w:sz w:val="20"/>
          <w:lang w:val="en-GB"/>
        </w:rPr>
        <w:t>Proceedings of the 5</w:t>
      </w:r>
      <w:r w:rsidRPr="007D12F5">
        <w:rPr>
          <w:rFonts w:ascii="Arial" w:hAnsi="Arial"/>
          <w:i/>
          <w:sz w:val="20"/>
          <w:vertAlign w:val="superscript"/>
          <w:lang w:val="en-GB"/>
        </w:rPr>
        <w:t>th</w:t>
      </w:r>
      <w:r w:rsidRPr="007D12F5">
        <w:rPr>
          <w:rFonts w:ascii="Arial" w:hAnsi="Arial"/>
          <w:i/>
          <w:sz w:val="20"/>
          <w:lang w:val="en-GB"/>
        </w:rPr>
        <w:t xml:space="preserve"> International Congress of the Archaeology of the Ancient Near East</w:t>
      </w:r>
      <w:r w:rsidRPr="007D12F5">
        <w:rPr>
          <w:rFonts w:ascii="Arial" w:hAnsi="Arial"/>
          <w:sz w:val="20"/>
          <w:lang w:val="en-GB"/>
        </w:rPr>
        <w:t xml:space="preserve">, </w:t>
      </w:r>
      <w:r w:rsidRPr="007D12F5">
        <w:rPr>
          <w:rFonts w:ascii="Arial" w:hAnsi="Arial"/>
          <w:i/>
          <w:sz w:val="20"/>
          <w:lang w:val="en-GB"/>
        </w:rPr>
        <w:t>3-8 avril 2006</w:t>
      </w:r>
      <w:r w:rsidRPr="007D12F5">
        <w:rPr>
          <w:rFonts w:ascii="Arial" w:hAnsi="Arial"/>
          <w:sz w:val="20"/>
          <w:lang w:val="en-GB"/>
        </w:rPr>
        <w:t>, Madrid, 2009.</w:t>
      </w:r>
    </w:p>
    <w:p w:rsidR="00792713" w:rsidRPr="007D12F5" w:rsidRDefault="00792713" w:rsidP="00792713">
      <w:pPr>
        <w:spacing w:before="120" w:after="120" w:line="240" w:lineRule="exact"/>
        <w:rPr>
          <w:rFonts w:ascii="Arial" w:hAnsi="Arial"/>
          <w:b/>
          <w:sz w:val="20"/>
          <w:u w:val="single"/>
        </w:rPr>
      </w:pPr>
      <w:r w:rsidRPr="007D12F5">
        <w:rPr>
          <w:rFonts w:ascii="Arial" w:hAnsi="Arial"/>
          <w:b/>
          <w:sz w:val="20"/>
          <w:u w:val="single"/>
        </w:rPr>
        <w:t>Comptes-Rendus :</w:t>
      </w:r>
    </w:p>
    <w:p w:rsidR="00792713" w:rsidRDefault="00792713" w:rsidP="00792713">
      <w:pPr>
        <w:numPr>
          <w:ilvl w:val="0"/>
          <w:numId w:val="1"/>
        </w:numPr>
        <w:spacing w:after="120" w:line="100" w:lineRule="atLeast"/>
        <w:jc w:val="both"/>
        <w:rPr>
          <w:rFonts w:ascii="Arial" w:hAnsi="Arial"/>
          <w:sz w:val="20"/>
        </w:rPr>
      </w:pPr>
      <w:r w:rsidRPr="00CF12D6">
        <w:rPr>
          <w:rFonts w:ascii="Arial" w:hAnsi="Arial"/>
          <w:sz w:val="20"/>
        </w:rPr>
        <w:t xml:space="preserve">M. Al-Maqdissi, V. Matoïan, C. Nicolle, </w:t>
      </w:r>
      <w:r w:rsidRPr="00CF12D6">
        <w:rPr>
          <w:rFonts w:ascii="Arial" w:hAnsi="Arial"/>
          <w:i/>
          <w:sz w:val="20"/>
        </w:rPr>
        <w:t>Céramique de l’âge du bronze en Syrie, II. L’Euphrate et la région de Jézireh</w:t>
      </w:r>
      <w:r w:rsidRPr="00CF12D6">
        <w:rPr>
          <w:rFonts w:ascii="Arial" w:hAnsi="Arial"/>
          <w:sz w:val="20"/>
        </w:rPr>
        <w:t xml:space="preserve">, Bibliothèque Archéologique et Historique, Tome 180, Institut Français du Proche-Orient, Beyrouth, 2007. </w:t>
      </w:r>
      <w:r w:rsidRPr="00CF12D6">
        <w:rPr>
          <w:rFonts w:ascii="Arial" w:hAnsi="Arial"/>
          <w:i/>
          <w:sz w:val="20"/>
        </w:rPr>
        <w:t>Histara-Les comptes-rendus</w:t>
      </w:r>
      <w:r w:rsidRPr="00CF12D6">
        <w:rPr>
          <w:rFonts w:ascii="Arial" w:hAnsi="Arial"/>
          <w:sz w:val="20"/>
        </w:rPr>
        <w:t>, Uni</w:t>
      </w:r>
      <w:r>
        <w:rPr>
          <w:rFonts w:ascii="Arial" w:hAnsi="Arial"/>
          <w:sz w:val="20"/>
        </w:rPr>
        <w:t>versité Paris IV Sorbonne, 2009.</w:t>
      </w:r>
    </w:p>
    <w:p w:rsidR="00792713" w:rsidRDefault="00792713" w:rsidP="00792713">
      <w:pPr>
        <w:numPr>
          <w:ilvl w:val="0"/>
          <w:numId w:val="1"/>
        </w:numPr>
        <w:spacing w:after="120" w:line="100" w:lineRule="atLeast"/>
        <w:jc w:val="both"/>
        <w:rPr>
          <w:rFonts w:ascii="Arial" w:hAnsi="Arial"/>
          <w:sz w:val="20"/>
        </w:rPr>
      </w:pPr>
      <w:r w:rsidRPr="00CF12D6">
        <w:rPr>
          <w:rFonts w:ascii="Arial" w:hAnsi="Arial"/>
          <w:sz w:val="20"/>
        </w:rPr>
        <w:t xml:space="preserve">A. Garcia et P. Cressier (eds.), </w:t>
      </w:r>
      <w:r w:rsidRPr="00CF12D6">
        <w:rPr>
          <w:rFonts w:ascii="Arial" w:hAnsi="Arial"/>
          <w:i/>
          <w:sz w:val="20"/>
        </w:rPr>
        <w:t>Minas y metalurgia en al-Andalus y Magreb occidental. Explotation y poblamiento.</w:t>
      </w:r>
      <w:r w:rsidRPr="00CF12D6">
        <w:rPr>
          <w:rFonts w:ascii="Arial" w:hAnsi="Arial"/>
          <w:sz w:val="20"/>
        </w:rPr>
        <w:t xml:space="preserve"> Casa de Velázquez, Madrid 2008.</w:t>
      </w:r>
      <w:r w:rsidRPr="00CF12D6">
        <w:rPr>
          <w:rFonts w:ascii="Arial" w:hAnsi="Arial"/>
          <w:i/>
          <w:sz w:val="20"/>
        </w:rPr>
        <w:t xml:space="preserve"> Histara-Les comptes-rendus</w:t>
      </w:r>
      <w:r w:rsidRPr="00CF12D6">
        <w:rPr>
          <w:rFonts w:ascii="Arial" w:hAnsi="Arial"/>
          <w:sz w:val="20"/>
        </w:rPr>
        <w:t>, Université Paris IV Sorbonne.</w:t>
      </w:r>
    </w:p>
    <w:p w:rsidR="00792713" w:rsidRPr="002F435E" w:rsidRDefault="00792713" w:rsidP="00792713">
      <w:pPr>
        <w:numPr>
          <w:ilvl w:val="0"/>
          <w:numId w:val="1"/>
        </w:numPr>
        <w:spacing w:after="120" w:line="100" w:lineRule="atLeast"/>
        <w:jc w:val="both"/>
        <w:rPr>
          <w:rFonts w:ascii="Arial" w:hAnsi="Arial"/>
          <w:sz w:val="20"/>
        </w:rPr>
      </w:pPr>
      <w:r w:rsidRPr="002F435E">
        <w:rPr>
          <w:rFonts w:ascii="Arial" w:hAnsi="Arial"/>
          <w:sz w:val="20"/>
        </w:rPr>
        <w:t>Calvet Y. et Pic M. (éds.), Failaka. Fouilles françaises 1984-1988. Matériel céramique du temple-tour et épigraphie. Travaux de la Maison de l'Orient et de la Méditerranée. N° 48. Publications de la Maison de l'Orient et de la Méditerranée, Lyon, 2008.</w:t>
      </w:r>
      <w:r>
        <w:rPr>
          <w:rFonts w:ascii="Arial" w:hAnsi="Arial"/>
          <w:sz w:val="20"/>
        </w:rPr>
        <w:t xml:space="preserve"> </w:t>
      </w:r>
      <w:r w:rsidRPr="00CF12D6">
        <w:rPr>
          <w:rFonts w:ascii="Arial" w:hAnsi="Arial"/>
          <w:i/>
          <w:sz w:val="20"/>
        </w:rPr>
        <w:t>Histara-Les comptes-rendus</w:t>
      </w:r>
      <w:r>
        <w:rPr>
          <w:rFonts w:ascii="Arial" w:hAnsi="Arial"/>
          <w:sz w:val="20"/>
        </w:rPr>
        <w:t>, Université Paris IV Sorbonne.</w:t>
      </w:r>
    </w:p>
    <w:p w:rsidR="00792713" w:rsidRDefault="00792713" w:rsidP="00792713">
      <w:pPr>
        <w:numPr>
          <w:ilvl w:val="0"/>
          <w:numId w:val="1"/>
        </w:numPr>
        <w:tabs>
          <w:tab w:val="clear" w:pos="360"/>
          <w:tab w:val="num" w:pos="284"/>
        </w:tabs>
        <w:spacing w:after="120" w:line="100" w:lineRule="atLeast"/>
        <w:jc w:val="both"/>
        <w:rPr>
          <w:rFonts w:ascii="Arial" w:hAnsi="Arial"/>
          <w:sz w:val="20"/>
        </w:rPr>
      </w:pPr>
      <w:r w:rsidRPr="00CF12D6">
        <w:rPr>
          <w:rFonts w:ascii="Arial" w:hAnsi="Arial"/>
          <w:sz w:val="20"/>
        </w:rPr>
        <w:t xml:space="preserve">Bridey F., </w:t>
      </w:r>
      <w:r w:rsidRPr="00CF12D6">
        <w:rPr>
          <w:rFonts w:ascii="Arial" w:hAnsi="Arial"/>
          <w:i/>
          <w:sz w:val="20"/>
        </w:rPr>
        <w:t>L’iconographie du décor peint de la céramique de Suse I. Les coupes des collections du Musée du Louvre et du Musée d’Archéologie Nationale de Saint-Germain-en-Laye</w:t>
      </w:r>
      <w:r w:rsidRPr="00CF12D6">
        <w:rPr>
          <w:rFonts w:ascii="Arial" w:hAnsi="Arial"/>
          <w:sz w:val="20"/>
        </w:rPr>
        <w:t xml:space="preserve">, Mémoires de Recherche de l’Ecole du Louvre, Ecole du Louvre, Paris 2011. </w:t>
      </w:r>
      <w:r w:rsidRPr="00CF12D6">
        <w:rPr>
          <w:rFonts w:ascii="Arial" w:hAnsi="Arial"/>
          <w:i/>
          <w:sz w:val="20"/>
        </w:rPr>
        <w:t>Histara-Les comptes-rendus</w:t>
      </w:r>
      <w:r w:rsidRPr="00CF12D6">
        <w:rPr>
          <w:rFonts w:ascii="Arial" w:hAnsi="Arial"/>
          <w:sz w:val="20"/>
        </w:rPr>
        <w:t>, Université Paris IV Sorbonne.</w:t>
      </w:r>
    </w:p>
    <w:p w:rsidR="00792713" w:rsidRPr="00754178" w:rsidRDefault="00792713" w:rsidP="00792713">
      <w:pPr>
        <w:spacing w:after="120" w:line="100" w:lineRule="atLeast"/>
        <w:jc w:val="both"/>
        <w:rPr>
          <w:rFonts w:ascii="Arial" w:hAnsi="Arial"/>
          <w:i/>
          <w:sz w:val="20"/>
        </w:rPr>
      </w:pPr>
      <w:proofErr w:type="gramStart"/>
      <w:r>
        <w:rPr>
          <w:rFonts w:ascii="Arial" w:hAnsi="Arial"/>
          <w:i/>
          <w:sz w:val="20"/>
        </w:rPr>
        <w:t>En  préparation</w:t>
      </w:r>
      <w:proofErr w:type="gramEnd"/>
      <w:r>
        <w:rPr>
          <w:rFonts w:ascii="Arial" w:hAnsi="Arial"/>
          <w:i/>
          <w:sz w:val="20"/>
        </w:rPr>
        <w:t>:</w:t>
      </w:r>
    </w:p>
    <w:p w:rsidR="00792713" w:rsidRPr="00754178" w:rsidRDefault="00792713" w:rsidP="00792713">
      <w:pPr>
        <w:numPr>
          <w:ilvl w:val="0"/>
          <w:numId w:val="1"/>
        </w:numPr>
        <w:tabs>
          <w:tab w:val="clear" w:pos="360"/>
          <w:tab w:val="num" w:pos="284"/>
        </w:tabs>
        <w:spacing w:after="120" w:line="10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Callot O., </w:t>
      </w:r>
      <w:r>
        <w:rPr>
          <w:rFonts w:ascii="Arial" w:hAnsi="Arial"/>
          <w:i/>
          <w:sz w:val="20"/>
        </w:rPr>
        <w:t>Les sanctuaires de l’Acropole d’Ougarit. Les temples de Baal et de Dagan.</w:t>
      </w:r>
      <w:r>
        <w:rPr>
          <w:rFonts w:ascii="Arial" w:hAnsi="Arial"/>
          <w:sz w:val="20"/>
        </w:rPr>
        <w:t xml:space="preserve"> Ras Shamra-Ougarit XIX, Publications de la maison de l’Orient et de la Méditerranée, Lyon, 2011. </w:t>
      </w:r>
      <w:r w:rsidRPr="00CF12D6">
        <w:rPr>
          <w:rFonts w:ascii="Arial" w:hAnsi="Arial"/>
          <w:i/>
          <w:sz w:val="20"/>
        </w:rPr>
        <w:t>Histara-Les comptes-rendus</w:t>
      </w:r>
      <w:r w:rsidRPr="00CF12D6">
        <w:rPr>
          <w:rFonts w:ascii="Arial" w:hAnsi="Arial"/>
          <w:sz w:val="20"/>
        </w:rPr>
        <w:t>, Université Paris IV Sorbonne.</w:t>
      </w:r>
    </w:p>
    <w:p w:rsidR="009513EA" w:rsidRDefault="00792713"/>
    <w:sectPr w:rsidR="009513EA" w:rsidSect="00D0747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angal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2713"/>
    <w:rsid w:val="0079271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13"/>
    <w:rPr>
      <w:rFonts w:ascii="Cambria" w:eastAsia="Cambria" w:hAnsi="Cambria" w:cs="Times New Roman"/>
      <w:lang w:val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fig">
    <w:name w:val="fig."/>
    <w:basedOn w:val="Normal"/>
    <w:rsid w:val="0007546F"/>
    <w:pPr>
      <w:suppressLineNumbers/>
      <w:suppressAutoHyphens/>
      <w:spacing w:before="120" w:after="120"/>
    </w:pPr>
    <w:rPr>
      <w:rFonts w:ascii="Arial" w:eastAsia="Times New Roman" w:hAnsi="Arial" w:cs="Mangal"/>
      <w:i/>
      <w:iCs/>
      <w:sz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3678</Characters>
  <Application>Microsoft Macintosh Word</Application>
  <DocSecurity>0</DocSecurity>
  <Lines>30</Lines>
  <Paragraphs>7</Paragraphs>
  <ScaleCrop>false</ScaleCrop>
  <Company>U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_x0010_verardi</dc:creator>
  <cp:keywords/>
  <cp:lastModifiedBy>_x0010_verardi</cp:lastModifiedBy>
  <cp:revision>1</cp:revision>
  <dcterms:created xsi:type="dcterms:W3CDTF">2012-04-25T15:02:00Z</dcterms:created>
  <dcterms:modified xsi:type="dcterms:W3CDTF">2012-04-25T15:03:00Z</dcterms:modified>
</cp:coreProperties>
</file>